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B.1 </w:t>
      </w:r>
    </w:p>
    <w:p w:rsidR="00000000" w:rsidDel="00000000" w:rsidP="00000000" w:rsidRDefault="00000000" w:rsidRPr="00000000" w14:paraId="00000003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TUTOR/VALUTATORE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docente, tutor e figura aggiuntiva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 di docente, fino a un massimo di 18 punti)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 di figura aggiuntiva) fino a un massimo di 18 punti)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(1 punti per ogni esperienza di tutor),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massimo di 14 punti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esperienza);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tutor/figura aggiuntiva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(1  punti per ogni esperienza)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 massimo di 12 punti totali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interno con esperienza/ formazione di valutazione nelle istituzioni scolastiche, partecipazione  nucleo interno di valutazione, referente per la valutazione INVALSI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esperienza)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massimo di 14 punti totali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9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A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2.jpg"/>
          <a:graphic>
            <a:graphicData uri="http://schemas.openxmlformats.org/drawingml/2006/picture">
              <pic:pic>
                <pic:nvPicPr>
                  <pic:cNvPr descr="Vai alla hom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F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70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71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